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57309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образования и науки Курганской области </w:t>
      </w:r>
      <w:bookmarkEnd w:id="1"/>
      <w:r>
        <w:rPr>
          <w:sz w:val="28"/>
        </w:rPr>
        <w:br/>
      </w:r>
      <w:bookmarkStart w:name="7e23ae95-14d1-494f-ac52-185ba52e2507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3"/>
      <w:bookmarkEnd w:id="3"/>
      <w:r>
        <w:rPr>
          <w:sz w:val="28"/>
        </w:rPr>
        <w:br/>
      </w:r>
      <w:bookmarkStart w:name="6a79db9e-395e-41b7-ae56-606e60c06ed6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Отдел образования Целинного муниципального округа</w:t>
      </w:r>
      <w:bookmarkEnd w:id="4"/>
      <w:r>
        <w:rPr>
          <w:sz w:val="28"/>
        </w:rPr>
        <w:br/>
      </w:r>
      <w:r>
        <w:rPr>
          <w:sz w:val="28"/>
        </w:rPr>
        <w:br/>
      </w:r>
      <w:bookmarkStart w:name="6a79db9e-395e-41b7-ae56-606e60c06ed6" w:id="5"/>
      <w:bookmarkEnd w:id="5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"Усть-Уйская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4940148)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6"/>
      <w:r>
        <w:rPr>
          <w:rFonts w:ascii="Times New Roman" w:hAnsi="Times New Roman"/>
          <w:b/>
          <w:i w:val="false"/>
          <w:color w:val="000000"/>
          <w:sz w:val="28"/>
        </w:rPr>
        <w:t>Усть-Уйское</w:t>
      </w:r>
      <w:bookmarkEnd w:id="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7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7"/>
    </w:p>
    <w:p>
      <w:pPr>
        <w:spacing w:before="0" w:after="0"/>
        <w:ind w:left="120"/>
        <w:jc w:val="left"/>
      </w:pPr>
    </w:p>
    <w:bookmarkStart w:name="block-37573096" w:id="8"/>
    <w:p>
      <w:pPr>
        <w:sectPr>
          <w:pgSz w:w="11906" w:h="16383" w:orient="portrait"/>
        </w:sectPr>
      </w:pPr>
    </w:p>
    <w:bookmarkEnd w:id="8"/>
    <w:bookmarkEnd w:id="0"/>
    <w:bookmarkStart w:name="block-3757309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7573099" w:id="10"/>
    <w:p>
      <w:pPr>
        <w:sectPr>
          <w:pgSz w:w="11906" w:h="16383" w:orient="portrait"/>
        </w:sectPr>
      </w:pPr>
    </w:p>
    <w:bookmarkEnd w:id="10"/>
    <w:bookmarkEnd w:id="9"/>
    <w:bookmarkStart w:name="block-3757309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7573093" w:id="12"/>
    <w:p>
      <w:pPr>
        <w:sectPr>
          <w:pgSz w:w="11906" w:h="16383" w:orient="portrait"/>
        </w:sectPr>
      </w:pPr>
    </w:p>
    <w:bookmarkEnd w:id="12"/>
    <w:bookmarkEnd w:id="11"/>
    <w:bookmarkStart w:name="block-3757309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7573094" w:id="14"/>
    <w:p>
      <w:pPr>
        <w:sectPr>
          <w:pgSz w:w="11906" w:h="16383" w:orient="portrait"/>
        </w:sectPr>
      </w:pPr>
    </w:p>
    <w:bookmarkEnd w:id="14"/>
    <w:bookmarkEnd w:id="13"/>
    <w:bookmarkStart w:name="block-3757309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573095" w:id="16"/>
    <w:p>
      <w:pPr>
        <w:sectPr>
          <w:pgSz w:w="16383" w:h="11906" w:orient="landscape"/>
        </w:sectPr>
      </w:pPr>
    </w:p>
    <w:bookmarkEnd w:id="16"/>
    <w:bookmarkEnd w:id="15"/>
    <w:bookmarkStart w:name="block-3757309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573098" w:id="18"/>
    <w:p>
      <w:pPr>
        <w:sectPr>
          <w:pgSz w:w="16383" w:h="11906" w:orient="landscape"/>
        </w:sectPr>
      </w:pPr>
    </w:p>
    <w:bookmarkEnd w:id="18"/>
    <w:bookmarkEnd w:id="17"/>
    <w:bookmarkStart w:name="block-3757309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573097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